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40BAB" w14:textId="133E4E70" w:rsidR="00656F55" w:rsidRPr="00ED2013" w:rsidRDefault="00656F55" w:rsidP="00656F55">
      <w:pPr>
        <w:rPr>
          <w:rFonts w:ascii="Marianne" w:hAnsi="Marianne"/>
          <w:b/>
          <w:bCs/>
          <w:lang w:val="fr-FR"/>
        </w:rPr>
      </w:pPr>
      <w:r w:rsidRPr="00ED2013">
        <w:rPr>
          <w:rFonts w:ascii="Marianne" w:hAnsi="Marianne"/>
          <w:b/>
          <w:bCs/>
          <w:lang w:val="fr-FR"/>
        </w:rPr>
        <w:t xml:space="preserve">ANNEXE </w:t>
      </w:r>
      <w:r w:rsidR="00ED2013" w:rsidRPr="00ED2013">
        <w:rPr>
          <w:rFonts w:ascii="Marianne" w:hAnsi="Marianne"/>
          <w:b/>
          <w:bCs/>
          <w:lang w:val="fr-FR"/>
        </w:rPr>
        <w:t>1</w:t>
      </w:r>
      <w:r w:rsidRPr="00ED2013">
        <w:rPr>
          <w:rFonts w:ascii="Marianne" w:hAnsi="Marianne"/>
          <w:b/>
          <w:bCs/>
          <w:lang w:val="fr-FR"/>
        </w:rPr>
        <w:t xml:space="preserve"> – TRAME DU MÉMOIRE TECHNIQUE</w:t>
      </w:r>
    </w:p>
    <w:p w14:paraId="47D05DB0" w14:textId="1C2C0ECF" w:rsidR="00656F55" w:rsidRPr="00656F55" w:rsidRDefault="00656F55" w:rsidP="00A62395">
      <w:pPr>
        <w:rPr>
          <w:rFonts w:ascii="Marianne" w:hAnsi="Marianne"/>
          <w:sz w:val="20"/>
          <w:szCs w:val="20"/>
          <w:lang w:val="fr-FR"/>
        </w:rPr>
      </w:pPr>
      <w:r w:rsidRPr="00ED2013">
        <w:rPr>
          <w:rFonts w:ascii="Marianne" w:hAnsi="Marianne"/>
          <w:b/>
          <w:bCs/>
          <w:sz w:val="20"/>
          <w:szCs w:val="20"/>
          <w:lang w:val="fr-FR"/>
        </w:rPr>
        <w:t>I. Présentation générale de l’opérateur</w:t>
      </w:r>
      <w:r w:rsidRPr="00656F55">
        <w:rPr>
          <w:rFonts w:ascii="Marianne" w:hAnsi="Marianne"/>
          <w:sz w:val="20"/>
          <w:szCs w:val="20"/>
          <w:lang w:val="fr-FR"/>
        </w:rPr>
        <w:br/>
        <w:t>1. Organisation générale</w:t>
      </w:r>
      <w:r w:rsidRPr="00656F55">
        <w:rPr>
          <w:rFonts w:ascii="Marianne" w:hAnsi="Marianne"/>
          <w:sz w:val="20"/>
          <w:szCs w:val="20"/>
          <w:lang w:val="fr-FR"/>
        </w:rPr>
        <w:br/>
        <w:t>2. Identification des sites d’exécution</w:t>
      </w:r>
      <w:r w:rsidRPr="00656F55">
        <w:rPr>
          <w:rFonts w:ascii="Marianne" w:hAnsi="Marianne"/>
          <w:sz w:val="20"/>
          <w:szCs w:val="20"/>
          <w:lang w:val="fr-FR"/>
        </w:rPr>
        <w:br/>
        <w:t>3. Organisation logistique globale</w:t>
      </w:r>
      <w:r w:rsidRPr="00656F55">
        <w:rPr>
          <w:rFonts w:ascii="Marianne" w:hAnsi="Marianne"/>
          <w:sz w:val="20"/>
          <w:szCs w:val="20"/>
          <w:lang w:val="fr-FR"/>
        </w:rPr>
        <w:br/>
      </w:r>
      <w:r w:rsidR="00A62395" w:rsidRPr="00A62395">
        <w:rPr>
          <w:rFonts w:ascii="Marianne" w:hAnsi="Marianne"/>
          <w:sz w:val="20"/>
          <w:szCs w:val="20"/>
          <w:lang w:val="fr-FR"/>
        </w:rPr>
        <w:t>4. Mode de transport envisagés pour l’acheminement des biens entre les différents sites</w:t>
      </w:r>
      <w:r w:rsidR="00A62395" w:rsidRPr="00656F55">
        <w:rPr>
          <w:rFonts w:ascii="Marianne" w:hAnsi="Marianne"/>
          <w:sz w:val="20"/>
          <w:szCs w:val="20"/>
          <w:lang w:val="fr-FR"/>
        </w:rPr>
        <w:br/>
      </w:r>
      <w:r w:rsidR="00A62395" w:rsidRPr="00A62395">
        <w:rPr>
          <w:rFonts w:ascii="Marianne" w:hAnsi="Marianne"/>
          <w:sz w:val="20"/>
          <w:szCs w:val="20"/>
          <w:lang w:val="fr-FR"/>
        </w:rPr>
        <w:t>5. Interlocuteur unique</w:t>
      </w:r>
    </w:p>
    <w:p w14:paraId="1FA6F61E" w14:textId="77777777" w:rsidR="00656F55" w:rsidRPr="00656F55" w:rsidRDefault="00656F55" w:rsidP="00656F55">
      <w:pPr>
        <w:rPr>
          <w:rFonts w:ascii="Marianne" w:hAnsi="Marianne"/>
          <w:sz w:val="20"/>
          <w:szCs w:val="20"/>
          <w:lang w:val="fr-FR"/>
        </w:rPr>
      </w:pPr>
      <w:r w:rsidRPr="00ED2013">
        <w:rPr>
          <w:rFonts w:ascii="Marianne" w:hAnsi="Marianne"/>
          <w:b/>
          <w:bCs/>
          <w:sz w:val="20"/>
          <w:szCs w:val="20"/>
          <w:lang w:val="fr-FR"/>
        </w:rPr>
        <w:t>II. Dispositifs transversaux applicables à l’ensemble des prestations</w:t>
      </w:r>
      <w:r w:rsidRPr="00ED2013">
        <w:rPr>
          <w:rFonts w:ascii="Marianne" w:hAnsi="Marianne"/>
          <w:b/>
          <w:bCs/>
          <w:sz w:val="20"/>
          <w:szCs w:val="20"/>
          <w:lang w:val="fr-FR"/>
        </w:rPr>
        <w:br/>
      </w:r>
      <w:r w:rsidRPr="00656F55">
        <w:rPr>
          <w:rFonts w:ascii="Marianne" w:hAnsi="Marianne"/>
          <w:sz w:val="20"/>
          <w:szCs w:val="20"/>
          <w:lang w:val="fr-FR"/>
        </w:rPr>
        <w:t>1. Traçabilité complète des biens</w:t>
      </w:r>
      <w:r w:rsidRPr="00656F55">
        <w:rPr>
          <w:rFonts w:ascii="Marianne" w:hAnsi="Marianne"/>
          <w:sz w:val="20"/>
          <w:szCs w:val="20"/>
          <w:lang w:val="fr-FR"/>
        </w:rPr>
        <w:br/>
        <w:t>2. Procédure de prise en charge (pesée, scellés, PV)</w:t>
      </w:r>
      <w:r w:rsidRPr="00656F55">
        <w:rPr>
          <w:rFonts w:ascii="Marianne" w:hAnsi="Marianne"/>
          <w:sz w:val="20"/>
          <w:szCs w:val="20"/>
          <w:lang w:val="fr-FR"/>
        </w:rPr>
        <w:br/>
        <w:t>3. Dispositifs de sécurité (transport, stockage, contrôle d’accès)</w:t>
      </w:r>
      <w:r w:rsidRPr="00656F55">
        <w:rPr>
          <w:rFonts w:ascii="Marianne" w:hAnsi="Marianne"/>
          <w:sz w:val="20"/>
          <w:szCs w:val="20"/>
          <w:lang w:val="fr-FR"/>
        </w:rPr>
        <w:br/>
        <w:t>4. Assurance générale et assurance ad valorem</w:t>
      </w:r>
      <w:r w:rsidRPr="00656F55">
        <w:rPr>
          <w:rFonts w:ascii="Marianne" w:hAnsi="Marianne"/>
          <w:sz w:val="20"/>
          <w:szCs w:val="20"/>
          <w:lang w:val="fr-FR"/>
        </w:rPr>
        <w:br/>
        <w:t>5. Protection des salariés</w:t>
      </w:r>
      <w:r w:rsidRPr="00656F55">
        <w:rPr>
          <w:rFonts w:ascii="Marianne" w:hAnsi="Marianne"/>
          <w:sz w:val="20"/>
          <w:szCs w:val="20"/>
          <w:lang w:val="fr-FR"/>
        </w:rPr>
        <w:br/>
        <w:t>6. Respect des normes environnementales</w:t>
      </w:r>
      <w:r w:rsidRPr="00656F55">
        <w:rPr>
          <w:rFonts w:ascii="Marianne" w:hAnsi="Marianne"/>
          <w:sz w:val="20"/>
          <w:szCs w:val="20"/>
          <w:lang w:val="fr-FR"/>
        </w:rPr>
        <w:br/>
        <w:t>7. Gestion des déchets (conformément à l’article 8 du CCP)</w:t>
      </w:r>
      <w:r w:rsidRPr="00656F55">
        <w:rPr>
          <w:rFonts w:ascii="Marianne" w:hAnsi="Marianne"/>
          <w:sz w:val="20"/>
          <w:szCs w:val="20"/>
          <w:lang w:val="fr-FR"/>
        </w:rPr>
        <w:br/>
        <w:t>8. Modalités de présence d’un observateur AGRASC</w:t>
      </w:r>
      <w:r w:rsidRPr="00656F55">
        <w:rPr>
          <w:rFonts w:ascii="Marianne" w:hAnsi="Marianne"/>
          <w:sz w:val="20"/>
          <w:szCs w:val="20"/>
          <w:lang w:val="fr-FR"/>
        </w:rPr>
        <w:br/>
      </w:r>
    </w:p>
    <w:p w14:paraId="633C93D2" w14:textId="77777777" w:rsidR="00656F55" w:rsidRPr="00656F55" w:rsidRDefault="00656F55" w:rsidP="00656F55">
      <w:pPr>
        <w:rPr>
          <w:rFonts w:ascii="Marianne" w:hAnsi="Marianne"/>
          <w:sz w:val="20"/>
          <w:szCs w:val="20"/>
          <w:lang w:val="fr-FR"/>
        </w:rPr>
      </w:pPr>
      <w:r w:rsidRPr="00ED2013">
        <w:rPr>
          <w:rFonts w:ascii="Marianne" w:hAnsi="Marianne"/>
          <w:b/>
          <w:bCs/>
          <w:sz w:val="20"/>
          <w:szCs w:val="20"/>
          <w:lang w:val="fr-FR"/>
        </w:rPr>
        <w:t>III. PRESTATION 1 – Analyse et tri</w:t>
      </w:r>
      <w:r w:rsidRPr="00ED2013">
        <w:rPr>
          <w:rFonts w:ascii="Marianne" w:hAnsi="Marianne"/>
          <w:b/>
          <w:bCs/>
          <w:sz w:val="20"/>
          <w:szCs w:val="20"/>
          <w:lang w:val="fr-FR"/>
        </w:rPr>
        <w:br/>
      </w:r>
      <w:r w:rsidRPr="00656F55">
        <w:rPr>
          <w:rFonts w:ascii="Marianne" w:hAnsi="Marianne"/>
          <w:sz w:val="20"/>
          <w:szCs w:val="20"/>
          <w:lang w:val="fr-FR"/>
        </w:rPr>
        <w:t>1. Modalités de prise en charge initiale</w:t>
      </w:r>
      <w:r w:rsidRPr="00656F55">
        <w:rPr>
          <w:rFonts w:ascii="Marianne" w:hAnsi="Marianne"/>
          <w:sz w:val="20"/>
          <w:szCs w:val="20"/>
          <w:lang w:val="fr-FR"/>
        </w:rPr>
        <w:br/>
        <w:t>2. Procédé d’analyse</w:t>
      </w:r>
      <w:r w:rsidRPr="00656F55">
        <w:rPr>
          <w:rFonts w:ascii="Marianne" w:hAnsi="Marianne"/>
          <w:sz w:val="20"/>
          <w:szCs w:val="20"/>
          <w:lang w:val="fr-FR"/>
        </w:rPr>
        <w:br/>
        <w:t>3. Modalités de tri</w:t>
      </w:r>
      <w:r w:rsidRPr="00656F55">
        <w:rPr>
          <w:rFonts w:ascii="Marianne" w:hAnsi="Marianne"/>
          <w:sz w:val="20"/>
          <w:szCs w:val="20"/>
          <w:lang w:val="fr-FR"/>
        </w:rPr>
        <w:br/>
        <w:t>4. Identification des biens contenant du mercure</w:t>
      </w:r>
      <w:r w:rsidRPr="00656F55">
        <w:rPr>
          <w:rFonts w:ascii="Marianne" w:hAnsi="Marianne"/>
          <w:sz w:val="20"/>
          <w:szCs w:val="20"/>
          <w:lang w:val="fr-FR"/>
        </w:rPr>
        <w:br/>
        <w:t>5. Quantités minimales / maximales par bon de commande</w:t>
      </w:r>
      <w:r w:rsidRPr="00656F55">
        <w:rPr>
          <w:rFonts w:ascii="Marianne" w:hAnsi="Marianne"/>
          <w:sz w:val="20"/>
          <w:szCs w:val="20"/>
          <w:lang w:val="fr-FR"/>
        </w:rPr>
        <w:br/>
        <w:t>6. Délais moyens par kilogramme</w:t>
      </w:r>
      <w:r w:rsidRPr="00656F55">
        <w:rPr>
          <w:rFonts w:ascii="Marianne" w:hAnsi="Marianne"/>
          <w:sz w:val="20"/>
          <w:szCs w:val="20"/>
          <w:lang w:val="fr-FR"/>
        </w:rPr>
        <w:br/>
        <w:t>7. Modalités de conditionnement post-tri</w:t>
      </w:r>
      <w:r w:rsidRPr="00656F55">
        <w:rPr>
          <w:rFonts w:ascii="Marianne" w:hAnsi="Marianne"/>
          <w:sz w:val="20"/>
          <w:szCs w:val="20"/>
          <w:lang w:val="fr-FR"/>
        </w:rPr>
        <w:br/>
        <w:t>8. Contenu type du dossier d’exécution</w:t>
      </w:r>
      <w:r w:rsidRPr="00656F55">
        <w:rPr>
          <w:rFonts w:ascii="Marianne" w:hAnsi="Marianne"/>
          <w:sz w:val="20"/>
          <w:szCs w:val="20"/>
          <w:lang w:val="fr-FR"/>
        </w:rPr>
        <w:br/>
      </w:r>
    </w:p>
    <w:p w14:paraId="25FFBE9A" w14:textId="77777777" w:rsidR="00656F55" w:rsidRPr="00656F55" w:rsidRDefault="00656F55" w:rsidP="00656F55">
      <w:pPr>
        <w:rPr>
          <w:rFonts w:ascii="Marianne" w:hAnsi="Marianne"/>
          <w:sz w:val="20"/>
          <w:szCs w:val="20"/>
          <w:lang w:val="fr-FR"/>
        </w:rPr>
      </w:pPr>
      <w:r w:rsidRPr="00ED2013">
        <w:rPr>
          <w:rFonts w:ascii="Marianne" w:hAnsi="Marianne"/>
          <w:b/>
          <w:bCs/>
          <w:sz w:val="20"/>
          <w:szCs w:val="20"/>
          <w:lang w:val="fr-FR"/>
        </w:rPr>
        <w:t>IV. PRESTATION 2 – Dépollution (démercurisation)</w:t>
      </w:r>
      <w:r w:rsidRPr="00ED2013">
        <w:rPr>
          <w:rFonts w:ascii="Marianne" w:hAnsi="Marianne"/>
          <w:b/>
          <w:bCs/>
          <w:sz w:val="20"/>
          <w:szCs w:val="20"/>
          <w:lang w:val="fr-FR"/>
        </w:rPr>
        <w:br/>
      </w:r>
      <w:r w:rsidRPr="00656F55">
        <w:rPr>
          <w:rFonts w:ascii="Marianne" w:hAnsi="Marianne"/>
          <w:sz w:val="20"/>
          <w:szCs w:val="20"/>
          <w:lang w:val="fr-FR"/>
        </w:rPr>
        <w:t>1. Cadre réglementaire applicable</w:t>
      </w:r>
      <w:r w:rsidRPr="00656F55">
        <w:rPr>
          <w:rFonts w:ascii="Marianne" w:hAnsi="Marianne"/>
          <w:sz w:val="20"/>
          <w:szCs w:val="20"/>
          <w:lang w:val="fr-FR"/>
        </w:rPr>
        <w:br/>
        <w:t>2. Site de réalisation</w:t>
      </w:r>
      <w:r w:rsidRPr="00656F55">
        <w:rPr>
          <w:rFonts w:ascii="Marianne" w:hAnsi="Marianne"/>
          <w:sz w:val="20"/>
          <w:szCs w:val="20"/>
          <w:lang w:val="fr-FR"/>
        </w:rPr>
        <w:br/>
        <w:t>3. Procédé technique détaillé</w:t>
      </w:r>
      <w:r w:rsidRPr="00656F55">
        <w:rPr>
          <w:rFonts w:ascii="Marianne" w:hAnsi="Marianne"/>
          <w:sz w:val="20"/>
          <w:szCs w:val="20"/>
          <w:lang w:val="fr-FR"/>
        </w:rPr>
        <w:br/>
        <w:t>4. Gestion des déchets dangereux</w:t>
      </w:r>
      <w:r w:rsidRPr="00656F55">
        <w:rPr>
          <w:rFonts w:ascii="Marianne" w:hAnsi="Marianne"/>
          <w:sz w:val="20"/>
          <w:szCs w:val="20"/>
          <w:lang w:val="fr-FR"/>
        </w:rPr>
        <w:br/>
        <w:t>5. Quantités minimales / maximales</w:t>
      </w:r>
      <w:r w:rsidRPr="00656F55">
        <w:rPr>
          <w:rFonts w:ascii="Marianne" w:hAnsi="Marianne"/>
          <w:sz w:val="20"/>
          <w:szCs w:val="20"/>
          <w:lang w:val="fr-FR"/>
        </w:rPr>
        <w:br/>
        <w:t>6. Délais moyens</w:t>
      </w:r>
      <w:r w:rsidRPr="00656F55">
        <w:rPr>
          <w:rFonts w:ascii="Marianne" w:hAnsi="Marianne"/>
          <w:sz w:val="20"/>
          <w:szCs w:val="20"/>
          <w:lang w:val="fr-FR"/>
        </w:rPr>
        <w:br/>
        <w:t>7. Modalités de restitution</w:t>
      </w:r>
      <w:r w:rsidRPr="00656F55">
        <w:rPr>
          <w:rFonts w:ascii="Marianne" w:hAnsi="Marianne"/>
          <w:sz w:val="20"/>
          <w:szCs w:val="20"/>
          <w:lang w:val="fr-FR"/>
        </w:rPr>
        <w:br/>
        <w:t>8. Contenu type du dossier d’exécution</w:t>
      </w:r>
      <w:r w:rsidRPr="00656F55">
        <w:rPr>
          <w:rFonts w:ascii="Marianne" w:hAnsi="Marianne"/>
          <w:sz w:val="20"/>
          <w:szCs w:val="20"/>
          <w:lang w:val="fr-FR"/>
        </w:rPr>
        <w:br/>
      </w:r>
    </w:p>
    <w:p w14:paraId="5F3FCF38" w14:textId="77777777" w:rsidR="00656F55" w:rsidRPr="00656F55" w:rsidRDefault="00656F55" w:rsidP="00656F55">
      <w:pPr>
        <w:rPr>
          <w:rFonts w:ascii="Marianne" w:hAnsi="Marianne"/>
          <w:sz w:val="20"/>
          <w:szCs w:val="20"/>
          <w:lang w:val="fr-FR"/>
        </w:rPr>
      </w:pPr>
      <w:r w:rsidRPr="00ED2013">
        <w:rPr>
          <w:rFonts w:ascii="Marianne" w:hAnsi="Marianne"/>
          <w:b/>
          <w:bCs/>
          <w:sz w:val="20"/>
          <w:szCs w:val="20"/>
          <w:lang w:val="fr-FR"/>
        </w:rPr>
        <w:lastRenderedPageBreak/>
        <w:t>V. PRESTATION 3 – Fonte, affinage, titrage</w:t>
      </w:r>
      <w:r w:rsidRPr="00656F55">
        <w:rPr>
          <w:rFonts w:ascii="Marianne" w:hAnsi="Marianne"/>
          <w:sz w:val="20"/>
          <w:szCs w:val="20"/>
          <w:lang w:val="fr-FR"/>
        </w:rPr>
        <w:br/>
        <w:t>1. Séquence industrielle détaillée</w:t>
      </w:r>
      <w:r w:rsidRPr="00656F55">
        <w:rPr>
          <w:rFonts w:ascii="Marianne" w:hAnsi="Marianne"/>
          <w:sz w:val="20"/>
          <w:szCs w:val="20"/>
          <w:lang w:val="fr-FR"/>
        </w:rPr>
        <w:br/>
        <w:t>2. Procédés techniques</w:t>
      </w:r>
      <w:r w:rsidRPr="00656F55">
        <w:rPr>
          <w:rFonts w:ascii="Marianne" w:hAnsi="Marianne"/>
          <w:sz w:val="20"/>
          <w:szCs w:val="20"/>
          <w:lang w:val="fr-FR"/>
        </w:rPr>
        <w:br/>
        <w:t>3. Gestion des écarts de poids</w:t>
      </w:r>
      <w:r w:rsidRPr="00656F55">
        <w:rPr>
          <w:rFonts w:ascii="Marianne" w:hAnsi="Marianne"/>
          <w:sz w:val="20"/>
          <w:szCs w:val="20"/>
          <w:lang w:val="fr-FR"/>
        </w:rPr>
        <w:br/>
        <w:t>4. Taux de restitution</w:t>
      </w:r>
      <w:r w:rsidRPr="00656F55">
        <w:rPr>
          <w:rFonts w:ascii="Marianne" w:hAnsi="Marianne"/>
          <w:sz w:val="20"/>
          <w:szCs w:val="20"/>
          <w:lang w:val="fr-FR"/>
        </w:rPr>
        <w:br/>
        <w:t>5. Apposition des poinçons</w:t>
      </w:r>
      <w:r w:rsidRPr="00656F55">
        <w:rPr>
          <w:rFonts w:ascii="Marianne" w:hAnsi="Marianne"/>
          <w:sz w:val="20"/>
          <w:szCs w:val="20"/>
          <w:lang w:val="fr-FR"/>
        </w:rPr>
        <w:br/>
        <w:t>6. Quantités minimales / maximales</w:t>
      </w:r>
      <w:r w:rsidRPr="00656F55">
        <w:rPr>
          <w:rFonts w:ascii="Marianne" w:hAnsi="Marianne"/>
          <w:sz w:val="20"/>
          <w:szCs w:val="20"/>
          <w:lang w:val="fr-FR"/>
        </w:rPr>
        <w:br/>
        <w:t>7. Délais moyens</w:t>
      </w:r>
      <w:r w:rsidRPr="00656F55">
        <w:rPr>
          <w:rFonts w:ascii="Marianne" w:hAnsi="Marianne"/>
          <w:sz w:val="20"/>
          <w:szCs w:val="20"/>
          <w:lang w:val="fr-FR"/>
        </w:rPr>
        <w:br/>
        <w:t>8. Traçabilité des lingots</w:t>
      </w:r>
      <w:r w:rsidRPr="00656F55">
        <w:rPr>
          <w:rFonts w:ascii="Marianne" w:hAnsi="Marianne"/>
          <w:sz w:val="20"/>
          <w:szCs w:val="20"/>
          <w:lang w:val="fr-FR"/>
        </w:rPr>
        <w:br/>
        <w:t>9. Contenu type du dossier d’exécution</w:t>
      </w:r>
      <w:r w:rsidRPr="00656F55">
        <w:rPr>
          <w:rFonts w:ascii="Marianne" w:hAnsi="Marianne"/>
          <w:sz w:val="20"/>
          <w:szCs w:val="20"/>
          <w:lang w:val="fr-FR"/>
        </w:rPr>
        <w:br/>
      </w:r>
    </w:p>
    <w:p w14:paraId="2DFD76CE" w14:textId="6FBD6CD3" w:rsidR="00656F55" w:rsidRPr="00656F55" w:rsidRDefault="00656F55" w:rsidP="00656F55">
      <w:pPr>
        <w:rPr>
          <w:rFonts w:ascii="Marianne" w:hAnsi="Marianne"/>
          <w:sz w:val="20"/>
          <w:szCs w:val="20"/>
          <w:lang w:val="fr-FR"/>
        </w:rPr>
      </w:pPr>
      <w:r w:rsidRPr="00ED2013">
        <w:rPr>
          <w:rFonts w:ascii="Marianne" w:hAnsi="Marianne"/>
          <w:b/>
          <w:bCs/>
          <w:sz w:val="20"/>
          <w:szCs w:val="20"/>
          <w:lang w:val="fr-FR"/>
        </w:rPr>
        <w:t>VI. PRESTATION 4 – Commercialisation</w:t>
      </w:r>
      <w:r w:rsidRPr="00ED2013">
        <w:rPr>
          <w:rFonts w:ascii="Marianne" w:hAnsi="Marianne"/>
          <w:b/>
          <w:bCs/>
          <w:sz w:val="20"/>
          <w:szCs w:val="20"/>
          <w:lang w:val="fr-FR"/>
        </w:rPr>
        <w:br/>
      </w:r>
      <w:r w:rsidR="00ED2013" w:rsidRPr="00ED2013">
        <w:rPr>
          <w:rFonts w:ascii="Marianne" w:hAnsi="Marianne"/>
          <w:sz w:val="20"/>
          <w:szCs w:val="20"/>
          <w:lang w:val="fr-FR"/>
        </w:rPr>
        <w:t>1. Conditions de stockage</w:t>
      </w:r>
      <w:r w:rsidR="00ED2013" w:rsidRPr="00ED2013">
        <w:rPr>
          <w:rFonts w:ascii="Marianne" w:hAnsi="Marianne"/>
          <w:sz w:val="20"/>
          <w:szCs w:val="20"/>
          <w:lang w:val="fr-FR"/>
        </w:rPr>
        <w:br/>
        <w:t>2. Organisation des ventes</w:t>
      </w:r>
      <w:r w:rsidR="00ED2013" w:rsidRPr="00ED2013">
        <w:rPr>
          <w:rFonts w:ascii="Marianne" w:hAnsi="Marianne"/>
          <w:sz w:val="20"/>
          <w:szCs w:val="20"/>
          <w:lang w:val="fr-FR"/>
        </w:rPr>
        <w:br/>
        <w:t>3. Méthode de fixation du cours</w:t>
      </w:r>
      <w:r w:rsidR="00ED2013" w:rsidRPr="00ED2013">
        <w:rPr>
          <w:rFonts w:ascii="Marianne" w:hAnsi="Marianne"/>
          <w:sz w:val="20"/>
          <w:szCs w:val="20"/>
          <w:lang w:val="fr-FR"/>
        </w:rPr>
        <w:br/>
        <w:t>4. Modalités d’allotissement</w:t>
      </w:r>
      <w:r w:rsidR="00ED2013" w:rsidRPr="00ED2013">
        <w:rPr>
          <w:rFonts w:ascii="Marianne" w:hAnsi="Marianne"/>
          <w:sz w:val="20"/>
          <w:szCs w:val="20"/>
          <w:lang w:val="fr-FR"/>
        </w:rPr>
        <w:br/>
        <w:t>5. Délais de transaction</w:t>
      </w:r>
      <w:r w:rsidR="00ED2013" w:rsidRPr="00ED2013">
        <w:rPr>
          <w:rFonts w:ascii="Marianne" w:hAnsi="Marianne"/>
          <w:sz w:val="20"/>
          <w:szCs w:val="20"/>
          <w:lang w:val="fr-FR"/>
        </w:rPr>
        <w:br/>
        <w:t>6. Délai de reversement</w:t>
      </w:r>
      <w:r w:rsidR="00ED2013" w:rsidRPr="00ED2013">
        <w:rPr>
          <w:rFonts w:ascii="Marianne" w:hAnsi="Marianne"/>
          <w:sz w:val="20"/>
          <w:szCs w:val="20"/>
          <w:lang w:val="fr-FR"/>
        </w:rPr>
        <w:br/>
        <w:t>7. Modalités de facturation de la commission</w:t>
      </w:r>
      <w:r w:rsidR="00ED2013" w:rsidRPr="00ED2013">
        <w:rPr>
          <w:rFonts w:ascii="Marianne" w:hAnsi="Marianne"/>
          <w:sz w:val="20"/>
          <w:szCs w:val="20"/>
          <w:lang w:val="fr-FR"/>
        </w:rPr>
        <w:br/>
        <w:t>8. Contenu type du dossier d’exécution</w:t>
      </w:r>
      <w:r w:rsidR="00ED2013" w:rsidRPr="00C71A77">
        <w:rPr>
          <w:lang w:val="fr-FR"/>
        </w:rPr>
        <w:br/>
      </w:r>
      <w:r w:rsidRPr="00656F55">
        <w:rPr>
          <w:rFonts w:ascii="Marianne" w:hAnsi="Marianne"/>
          <w:sz w:val="20"/>
          <w:szCs w:val="20"/>
          <w:lang w:val="fr-FR"/>
        </w:rPr>
        <w:br/>
      </w:r>
    </w:p>
    <w:p w14:paraId="6FC3800B" w14:textId="77777777" w:rsidR="00656F55" w:rsidRDefault="00656F55" w:rsidP="00656F55">
      <w:r w:rsidRPr="00ED2013">
        <w:rPr>
          <w:rFonts w:ascii="Marianne" w:hAnsi="Marianne"/>
          <w:b/>
          <w:bCs/>
          <w:sz w:val="20"/>
          <w:szCs w:val="20"/>
          <w:lang w:val="fr-FR"/>
        </w:rPr>
        <w:t>VII. Engagements contractuels</w:t>
      </w:r>
      <w:r w:rsidRPr="00656F55">
        <w:rPr>
          <w:rFonts w:ascii="Marianne" w:hAnsi="Marianne"/>
          <w:sz w:val="20"/>
          <w:szCs w:val="20"/>
          <w:lang w:val="fr-FR"/>
        </w:rPr>
        <w:br/>
        <w:t>1. Engagements sur les délais</w:t>
      </w:r>
      <w:r w:rsidRPr="00656F55">
        <w:rPr>
          <w:rFonts w:ascii="Marianne" w:hAnsi="Marianne"/>
          <w:sz w:val="20"/>
          <w:szCs w:val="20"/>
          <w:lang w:val="fr-FR"/>
        </w:rPr>
        <w:br/>
        <w:t>2. Engagements sur la conformité réglementaire</w:t>
      </w:r>
      <w:r w:rsidRPr="00656F55">
        <w:rPr>
          <w:rFonts w:ascii="Marianne" w:hAnsi="Marianne"/>
          <w:sz w:val="20"/>
          <w:szCs w:val="20"/>
          <w:lang w:val="fr-FR"/>
        </w:rPr>
        <w:br/>
        <w:t xml:space="preserve">3. </w:t>
      </w:r>
      <w:r w:rsidRPr="00656F55">
        <w:rPr>
          <w:rFonts w:ascii="Marianne" w:hAnsi="Marianne"/>
          <w:sz w:val="20"/>
          <w:szCs w:val="20"/>
        </w:rPr>
        <w:t xml:space="preserve">Engagements </w:t>
      </w:r>
      <w:proofErr w:type="spellStart"/>
      <w:r w:rsidRPr="00656F55">
        <w:rPr>
          <w:rFonts w:ascii="Marianne" w:hAnsi="Marianne"/>
          <w:sz w:val="20"/>
          <w:szCs w:val="20"/>
        </w:rPr>
        <w:t>relatifs</w:t>
      </w:r>
      <w:proofErr w:type="spellEnd"/>
      <w:r w:rsidRPr="00656F55">
        <w:rPr>
          <w:rFonts w:ascii="Marianne" w:hAnsi="Marianne"/>
          <w:sz w:val="20"/>
          <w:szCs w:val="20"/>
        </w:rPr>
        <w:t xml:space="preserve"> aux assurances et </w:t>
      </w:r>
      <w:proofErr w:type="spellStart"/>
      <w:r w:rsidRPr="00656F55">
        <w:rPr>
          <w:rFonts w:ascii="Marianne" w:hAnsi="Marianne"/>
          <w:sz w:val="20"/>
          <w:szCs w:val="20"/>
        </w:rPr>
        <w:t>responsabilités</w:t>
      </w:r>
      <w:proofErr w:type="spellEnd"/>
      <w:r w:rsidRPr="00656F55">
        <w:rPr>
          <w:rFonts w:ascii="Marianne" w:hAnsi="Marianne"/>
          <w:sz w:val="20"/>
          <w:szCs w:val="20"/>
        </w:rPr>
        <w:br/>
      </w:r>
    </w:p>
    <w:p w14:paraId="14AA2602" w14:textId="77777777" w:rsidR="009828DF" w:rsidRDefault="009828DF"/>
    <w:sectPr w:rsidR="009828DF" w:rsidSect="00656F55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F55"/>
    <w:rsid w:val="00313E26"/>
    <w:rsid w:val="00656F55"/>
    <w:rsid w:val="00690EDA"/>
    <w:rsid w:val="009828DF"/>
    <w:rsid w:val="00984009"/>
    <w:rsid w:val="00A62395"/>
    <w:rsid w:val="00C45DD1"/>
    <w:rsid w:val="00ED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D8AD0"/>
  <w15:chartTrackingRefBased/>
  <w15:docId w15:val="{E44021FF-1B89-4D0C-A4F1-3E67C4447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F55"/>
    <w:pPr>
      <w:spacing w:after="200" w:line="276" w:lineRule="auto"/>
    </w:pPr>
    <w:rPr>
      <w:rFonts w:eastAsiaTheme="minorEastAsia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656F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56F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6F5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56F5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6F5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6F5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6F5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6F5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6F5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56F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56F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56F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56F5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56F5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56F5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56F5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56F5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56F5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56F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656F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56F5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656F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56F55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656F5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56F55"/>
    <w:pPr>
      <w:spacing w:after="160" w:line="259" w:lineRule="auto"/>
      <w:ind w:left="720"/>
      <w:contextualSpacing/>
    </w:pPr>
    <w:rPr>
      <w:rFonts w:eastAsiaTheme="minorHAnsi"/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656F5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6F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6F5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56F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325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FLOUME Sandra</dc:creator>
  <cp:keywords/>
  <dc:description/>
  <cp:lastModifiedBy>FLOUME Sandra</cp:lastModifiedBy>
  <cp:revision>2</cp:revision>
  <dcterms:created xsi:type="dcterms:W3CDTF">2026-02-18T08:00:00Z</dcterms:created>
  <dcterms:modified xsi:type="dcterms:W3CDTF">2026-02-18T08:17:00Z</dcterms:modified>
</cp:coreProperties>
</file>